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BDFD9" w14:textId="77777777" w:rsidR="000F37E9" w:rsidRDefault="000F37E9" w:rsidP="006402B8">
      <w:pPr>
        <w:spacing w:line="276" w:lineRule="auto"/>
        <w:rPr>
          <w:b/>
          <w:bCs/>
          <w:color w:val="EE0000"/>
          <w:sz w:val="32"/>
          <w:szCs w:val="32"/>
        </w:rPr>
      </w:pPr>
    </w:p>
    <w:p w14:paraId="1C40CC2E" w14:textId="77777777" w:rsidR="00FE4DBA" w:rsidRPr="00FE4DBA" w:rsidRDefault="00FE4DBA" w:rsidP="00E941F8">
      <w:pPr>
        <w:spacing w:line="276" w:lineRule="auto"/>
        <w:jc w:val="center"/>
        <w:rPr>
          <w:sz w:val="26"/>
          <w:szCs w:val="26"/>
        </w:rPr>
      </w:pPr>
      <w:r w:rsidRPr="00FE4DBA">
        <w:rPr>
          <w:b/>
          <w:bCs/>
          <w:color w:val="7030A0"/>
          <w:sz w:val="32"/>
          <w:szCs w:val="32"/>
        </w:rPr>
        <w:t>ORIENTATION PROGRAMME REPORT</w:t>
      </w:r>
      <w:r w:rsidRPr="00FE4DBA">
        <w:rPr>
          <w:color w:val="7030A0"/>
          <w:sz w:val="32"/>
          <w:szCs w:val="32"/>
        </w:rPr>
        <w:br/>
      </w:r>
      <w:r w:rsidRPr="00FE4DBA">
        <w:rPr>
          <w:b/>
          <w:bCs/>
          <w:color w:val="7030A0"/>
          <w:sz w:val="32"/>
          <w:szCs w:val="32"/>
        </w:rPr>
        <w:t>On NAAC’s New Binary Accreditation Framework</w:t>
      </w:r>
      <w:r w:rsidRPr="00FE4DBA">
        <w:rPr>
          <w:sz w:val="26"/>
          <w:szCs w:val="26"/>
        </w:rPr>
        <w:br/>
      </w:r>
      <w:r w:rsidRPr="00FE4DBA">
        <w:rPr>
          <w:b/>
          <w:bCs/>
          <w:sz w:val="26"/>
          <w:szCs w:val="26"/>
        </w:rPr>
        <w:t>Organized by IQAC</w:t>
      </w:r>
    </w:p>
    <w:p w14:paraId="7CE5B203" w14:textId="6E596CAE" w:rsidR="00FE4DBA" w:rsidRPr="00FE4DBA" w:rsidRDefault="00A027C0" w:rsidP="00A027C0">
      <w:pPr>
        <w:spacing w:line="276" w:lineRule="auto"/>
        <w:ind w:firstLine="720"/>
        <w:jc w:val="both"/>
        <w:rPr>
          <w:sz w:val="26"/>
          <w:szCs w:val="26"/>
        </w:rPr>
      </w:pPr>
      <w:r w:rsidRPr="00A027C0">
        <w:rPr>
          <w:sz w:val="26"/>
          <w:szCs w:val="26"/>
        </w:rPr>
        <w:t xml:space="preserve">An Orientation Programme on NAAC's New Binary Accreditation Framework was organized by the Internal Quality Assurance Cell (IQAC) of the college on 11th February 2026, with the objective of creating awareness among faculty members about the recent reforms introduced by the National Assessment and Accreditation Council (NAAC). </w:t>
      </w:r>
      <w:r w:rsidR="00FE4DBA" w:rsidRPr="00FE4DBA">
        <w:rPr>
          <w:sz w:val="26"/>
          <w:szCs w:val="26"/>
        </w:rPr>
        <w:t>The programme aimed to provide clarity on the shift from the traditional grading system to the newly introduced Binary Accreditation Framework and to discuss its implications for higher education institutions.</w:t>
      </w:r>
    </w:p>
    <w:p w14:paraId="12EB0ADD" w14:textId="77777777" w:rsidR="00FE4DBA" w:rsidRPr="00FE4DBA" w:rsidRDefault="00FE4DBA" w:rsidP="00457C56">
      <w:pPr>
        <w:spacing w:line="276" w:lineRule="auto"/>
        <w:ind w:firstLine="720"/>
        <w:jc w:val="both"/>
        <w:rPr>
          <w:sz w:val="26"/>
          <w:szCs w:val="26"/>
        </w:rPr>
      </w:pPr>
      <w:r w:rsidRPr="00FE4DBA">
        <w:rPr>
          <w:sz w:val="26"/>
          <w:szCs w:val="26"/>
        </w:rPr>
        <w:t xml:space="preserve">The programme was conducted under the able leadership of the Principal, Dr. M. </w:t>
      </w:r>
      <w:proofErr w:type="spellStart"/>
      <w:r w:rsidRPr="00FE4DBA">
        <w:rPr>
          <w:sz w:val="26"/>
          <w:szCs w:val="26"/>
        </w:rPr>
        <w:t>Venkatesulu</w:t>
      </w:r>
      <w:proofErr w:type="spellEnd"/>
      <w:r w:rsidRPr="00FE4DBA">
        <w:rPr>
          <w:sz w:val="26"/>
          <w:szCs w:val="26"/>
        </w:rPr>
        <w:t xml:space="preserve">, whose continuous encouragement and commitment to quality enhancement have always guided the institution toward academic excellence. The session was coordinated and presented by the IQAC Coordinator, Dr. Shaik </w:t>
      </w:r>
      <w:proofErr w:type="spellStart"/>
      <w:r w:rsidRPr="00FE4DBA">
        <w:rPr>
          <w:sz w:val="26"/>
          <w:szCs w:val="26"/>
        </w:rPr>
        <w:t>Benazeer</w:t>
      </w:r>
      <w:proofErr w:type="spellEnd"/>
      <w:r w:rsidRPr="00FE4DBA">
        <w:rPr>
          <w:sz w:val="26"/>
          <w:szCs w:val="26"/>
        </w:rPr>
        <w:t>, who delivered a comprehensive PowerPoint presentation explaining the salient features of the new accreditation system.</w:t>
      </w:r>
    </w:p>
    <w:p w14:paraId="5E0C77CE" w14:textId="77777777" w:rsidR="00FE4DBA" w:rsidRPr="00FE4DBA" w:rsidRDefault="00FE4DBA" w:rsidP="00457C56">
      <w:pPr>
        <w:spacing w:line="276" w:lineRule="auto"/>
        <w:ind w:firstLine="720"/>
        <w:jc w:val="both"/>
        <w:rPr>
          <w:sz w:val="26"/>
          <w:szCs w:val="26"/>
        </w:rPr>
      </w:pPr>
      <w:r w:rsidRPr="00FE4DBA">
        <w:rPr>
          <w:sz w:val="26"/>
          <w:szCs w:val="26"/>
        </w:rPr>
        <w:t xml:space="preserve">The programme commenced with a formal welcome address, wherein the importance of accreditation in ensuring quality education was emphasized. The </w:t>
      </w:r>
      <w:proofErr w:type="gramStart"/>
      <w:r w:rsidRPr="00FE4DBA">
        <w:rPr>
          <w:sz w:val="26"/>
          <w:szCs w:val="26"/>
        </w:rPr>
        <w:t>Principal</w:t>
      </w:r>
      <w:proofErr w:type="gramEnd"/>
      <w:r w:rsidRPr="00FE4DBA">
        <w:rPr>
          <w:sz w:val="26"/>
          <w:szCs w:val="26"/>
        </w:rPr>
        <w:t xml:space="preserve"> highlighted that accreditation is not merely a certification process but a continuous journey toward institutional improvement. He stated that the new framework reflects the changing dynamics of higher education and the need for greater accountability, transparency, and measurable outcomes.</w:t>
      </w:r>
    </w:p>
    <w:p w14:paraId="1F5D0A88" w14:textId="77777777" w:rsidR="00FE4DBA" w:rsidRPr="00FE4DBA" w:rsidRDefault="00FE4DBA" w:rsidP="00457C56">
      <w:pPr>
        <w:spacing w:line="276" w:lineRule="auto"/>
        <w:ind w:firstLine="720"/>
        <w:jc w:val="both"/>
        <w:rPr>
          <w:sz w:val="26"/>
          <w:szCs w:val="26"/>
        </w:rPr>
      </w:pPr>
      <w:r w:rsidRPr="00FE4DBA">
        <w:rPr>
          <w:sz w:val="26"/>
          <w:szCs w:val="26"/>
        </w:rPr>
        <w:t xml:space="preserve">In the keynote presentation, Dr. Shaik </w:t>
      </w:r>
      <w:proofErr w:type="spellStart"/>
      <w:r w:rsidRPr="00FE4DBA">
        <w:rPr>
          <w:sz w:val="26"/>
          <w:szCs w:val="26"/>
        </w:rPr>
        <w:t>Benazeer</w:t>
      </w:r>
      <w:proofErr w:type="spellEnd"/>
      <w:r w:rsidRPr="00FE4DBA">
        <w:rPr>
          <w:sz w:val="26"/>
          <w:szCs w:val="26"/>
        </w:rPr>
        <w:t xml:space="preserve"> elaborated on the concept and structure of the Binary Accreditation Framework introduced by NAAC. The session began with a brief overview of NAAC’s role in assessing and accrediting higher educational institutions in India. NAAC, established by the University Grants Commission (UGC), has been instrumental in promoting quality assurance in higher education through systematic evaluation based on defined criteria.</w:t>
      </w:r>
    </w:p>
    <w:p w14:paraId="4F69BE13" w14:textId="77777777" w:rsidR="00FE4DBA" w:rsidRPr="00FE4DBA" w:rsidRDefault="00FE4DBA" w:rsidP="00457C56">
      <w:pPr>
        <w:spacing w:line="276" w:lineRule="auto"/>
        <w:ind w:firstLine="720"/>
        <w:jc w:val="both"/>
        <w:rPr>
          <w:sz w:val="26"/>
          <w:szCs w:val="26"/>
        </w:rPr>
      </w:pPr>
      <w:r w:rsidRPr="00FE4DBA">
        <w:rPr>
          <w:sz w:val="26"/>
          <w:szCs w:val="26"/>
        </w:rPr>
        <w:t xml:space="preserve">The IQAC Coordinator explained that under the previous system, institutions were awarded grades such as A++, A+, A, B++, etc., based on cumulative scores across various criteria. However, the new Binary Accreditation Framework simplifies the </w:t>
      </w:r>
      <w:r w:rsidRPr="00FE4DBA">
        <w:rPr>
          <w:sz w:val="26"/>
          <w:szCs w:val="26"/>
        </w:rPr>
        <w:lastRenderedPageBreak/>
        <w:t>process by categorizing institutions as either “Accredited” or “Not Accredited.” This approach focuses on meeting minimum essential standards and ensures that institutions demonstrate basic compliance with quality benchmarks.</w:t>
      </w:r>
    </w:p>
    <w:p w14:paraId="26ADC15C" w14:textId="77777777" w:rsidR="00FE4DBA" w:rsidRPr="00FE4DBA" w:rsidRDefault="00FE4DBA" w:rsidP="00457C56">
      <w:pPr>
        <w:spacing w:line="276" w:lineRule="auto"/>
        <w:ind w:firstLine="720"/>
        <w:jc w:val="both"/>
        <w:rPr>
          <w:sz w:val="26"/>
          <w:szCs w:val="26"/>
        </w:rPr>
      </w:pPr>
      <w:r w:rsidRPr="00FE4DBA">
        <w:rPr>
          <w:sz w:val="26"/>
          <w:szCs w:val="26"/>
        </w:rPr>
        <w:t>The presentation covered the key components of the new framework, including eligibility criteria, quantitative metrics, and data validation processes. It was explained that greater emphasis is now placed on objective data, digital documentation, and transparency. Institutions are required to upload verified data on academic performance, faculty qualifications, student progression, research output, infrastructure facilities, and governance practices.</w:t>
      </w:r>
    </w:p>
    <w:p w14:paraId="72DFB3D2" w14:textId="3E07C10D" w:rsidR="00FE4DBA" w:rsidRPr="00FE4DBA" w:rsidRDefault="00FE4DBA" w:rsidP="00457C56">
      <w:pPr>
        <w:spacing w:line="276" w:lineRule="auto"/>
        <w:ind w:firstLine="720"/>
        <w:jc w:val="both"/>
        <w:rPr>
          <w:sz w:val="26"/>
          <w:szCs w:val="26"/>
        </w:rPr>
      </w:pPr>
      <w:r w:rsidRPr="00FE4DBA">
        <w:rPr>
          <w:sz w:val="26"/>
          <w:szCs w:val="26"/>
        </w:rPr>
        <w:t xml:space="preserve">Dr. </w:t>
      </w:r>
      <w:r w:rsidR="00D726BC">
        <w:rPr>
          <w:sz w:val="26"/>
          <w:szCs w:val="26"/>
        </w:rPr>
        <w:t xml:space="preserve">S. </w:t>
      </w:r>
      <w:proofErr w:type="spellStart"/>
      <w:r w:rsidRPr="00FE4DBA">
        <w:rPr>
          <w:sz w:val="26"/>
          <w:szCs w:val="26"/>
        </w:rPr>
        <w:t>Benazeer</w:t>
      </w:r>
      <w:proofErr w:type="spellEnd"/>
      <w:r w:rsidRPr="00FE4DBA">
        <w:rPr>
          <w:sz w:val="26"/>
          <w:szCs w:val="26"/>
        </w:rPr>
        <w:t xml:space="preserve"> also discussed the role of technology in the new accreditation process. The framework relies heavily on data-based evaluation and automated assessment mechanisms. This reduces subjectivity and ensures fairness in the evaluation process. The importance of maintaining updated records, proper documentation, and evidence-based reporting was strongly emphasized.</w:t>
      </w:r>
    </w:p>
    <w:p w14:paraId="0B02717C" w14:textId="77777777" w:rsidR="00FE4DBA" w:rsidRPr="00FE4DBA" w:rsidRDefault="00FE4DBA" w:rsidP="00457C56">
      <w:pPr>
        <w:spacing w:line="276" w:lineRule="auto"/>
        <w:ind w:firstLine="720"/>
        <w:jc w:val="both"/>
        <w:rPr>
          <w:sz w:val="26"/>
          <w:szCs w:val="26"/>
        </w:rPr>
      </w:pPr>
      <w:r w:rsidRPr="00FE4DBA">
        <w:rPr>
          <w:sz w:val="26"/>
          <w:szCs w:val="26"/>
        </w:rPr>
        <w:t>Another significant aspect highlighted during the session was the concept of maturity-based graded levels that may follow binary accreditation in advanced stages. Institutions must first secure binary accreditation before progressing toward higher levels of quality recognition. This step-wise progression encourages institutions to strengthen their internal systems and continuously improve performance indicators.</w:t>
      </w:r>
    </w:p>
    <w:p w14:paraId="77C84EA0" w14:textId="77777777" w:rsidR="00FE4DBA" w:rsidRPr="00FE4DBA" w:rsidRDefault="00FE4DBA" w:rsidP="00457C56">
      <w:pPr>
        <w:spacing w:line="276" w:lineRule="auto"/>
        <w:ind w:firstLine="720"/>
        <w:jc w:val="both"/>
        <w:rPr>
          <w:sz w:val="26"/>
          <w:szCs w:val="26"/>
        </w:rPr>
      </w:pPr>
      <w:r w:rsidRPr="00FE4DBA">
        <w:rPr>
          <w:sz w:val="26"/>
          <w:szCs w:val="26"/>
        </w:rPr>
        <w:t>The presentation further explained the seven criteria that continue to form the backbone of NAAC assessment: Curricular Aspects, Teaching-Learning and Evaluation, Research and Extension, Infrastructure and Learning Resources, Student Support and Progression, Governance and Leadership, and Institutional Values and Best Practices. Although the grading pattern has changed, the core areas of evaluation remain aligned with quality enhancement principles.</w:t>
      </w:r>
    </w:p>
    <w:p w14:paraId="5A7D5340" w14:textId="77777777" w:rsidR="00FE4DBA" w:rsidRPr="00FE4DBA" w:rsidRDefault="00FE4DBA" w:rsidP="00457C56">
      <w:pPr>
        <w:spacing w:line="276" w:lineRule="auto"/>
        <w:ind w:firstLine="720"/>
        <w:jc w:val="both"/>
        <w:rPr>
          <w:sz w:val="26"/>
          <w:szCs w:val="26"/>
        </w:rPr>
      </w:pPr>
      <w:r w:rsidRPr="00FE4DBA">
        <w:rPr>
          <w:sz w:val="26"/>
          <w:szCs w:val="26"/>
        </w:rPr>
        <w:t>Faculty members were informed about the importance of departmental contributions in the accreditation process. Each department plays a crucial role in maintaining academic records, conducting innovative teaching practices, organizing extension activities, and documenting achievements. The IQAC Coordinator stressed that accreditation is a collective responsibility and requires coordinated efforts from all stakeholders.</w:t>
      </w:r>
    </w:p>
    <w:p w14:paraId="14EF934C" w14:textId="77777777" w:rsidR="00FE4DBA" w:rsidRPr="00FE4DBA" w:rsidRDefault="00FE4DBA" w:rsidP="00457C56">
      <w:pPr>
        <w:spacing w:line="276" w:lineRule="auto"/>
        <w:ind w:firstLine="720"/>
        <w:jc w:val="both"/>
        <w:rPr>
          <w:sz w:val="26"/>
          <w:szCs w:val="26"/>
        </w:rPr>
      </w:pPr>
      <w:r w:rsidRPr="00FE4DBA">
        <w:rPr>
          <w:sz w:val="26"/>
          <w:szCs w:val="26"/>
        </w:rPr>
        <w:t xml:space="preserve">The session also included a discussion on the preparation strategies for the institution. Emphasis was laid on conducting internal academic audits, strengthening </w:t>
      </w:r>
      <w:r w:rsidRPr="00FE4DBA">
        <w:rPr>
          <w:sz w:val="26"/>
          <w:szCs w:val="26"/>
        </w:rPr>
        <w:lastRenderedPageBreak/>
        <w:t>mentoring systems, improving research publications, enhancing student support services, and organizing skill-based and value-added programmes. The need for outcome-based education and measurable learning outcomes was particularly highlighted.</w:t>
      </w:r>
    </w:p>
    <w:p w14:paraId="45F2844E" w14:textId="77777777" w:rsidR="00FE4DBA" w:rsidRPr="00FE4DBA" w:rsidRDefault="00FE4DBA" w:rsidP="00457C56">
      <w:pPr>
        <w:spacing w:line="276" w:lineRule="auto"/>
        <w:ind w:firstLine="720"/>
        <w:jc w:val="both"/>
        <w:rPr>
          <w:sz w:val="26"/>
          <w:szCs w:val="26"/>
        </w:rPr>
      </w:pPr>
      <w:r w:rsidRPr="00FE4DBA">
        <w:rPr>
          <w:sz w:val="26"/>
          <w:szCs w:val="26"/>
        </w:rPr>
        <w:t>An interactive session followed the presentation, during which faculty members raised queries regarding documentation procedures, data submission timelines, and evaluation mechanisms. The IQAC Coordinator provided detailed clarifications and encouraged departments to work systematically and proactively. The discussion helped in clearing doubts and building confidence among the staff regarding the new accreditation framework.</w:t>
      </w:r>
    </w:p>
    <w:p w14:paraId="03CA78EF" w14:textId="77777777" w:rsidR="00FE4DBA" w:rsidRPr="00FE4DBA" w:rsidRDefault="00FE4DBA" w:rsidP="00457C56">
      <w:pPr>
        <w:spacing w:line="276" w:lineRule="auto"/>
        <w:ind w:firstLine="720"/>
        <w:jc w:val="both"/>
        <w:rPr>
          <w:sz w:val="26"/>
          <w:szCs w:val="26"/>
        </w:rPr>
      </w:pPr>
      <w:r w:rsidRPr="00FE4DBA">
        <w:rPr>
          <w:sz w:val="26"/>
          <w:szCs w:val="26"/>
        </w:rPr>
        <w:t xml:space="preserve">The </w:t>
      </w:r>
      <w:proofErr w:type="gramStart"/>
      <w:r w:rsidRPr="00FE4DBA">
        <w:rPr>
          <w:sz w:val="26"/>
          <w:szCs w:val="26"/>
        </w:rPr>
        <w:t>Principal</w:t>
      </w:r>
      <w:proofErr w:type="gramEnd"/>
      <w:r w:rsidRPr="00FE4DBA">
        <w:rPr>
          <w:sz w:val="26"/>
          <w:szCs w:val="26"/>
        </w:rPr>
        <w:t>, in his concluding remarks, reiterated that quality is a continuous process and not a one-time effort. He urged faculty members to actively participate in IQAC activities and to align their academic and administrative practices with NAAC guidelines. He appreciated the IQAC team for organizing such an informative and timely programme.</w:t>
      </w:r>
    </w:p>
    <w:p w14:paraId="098E1F13" w14:textId="77777777" w:rsidR="00FE4DBA" w:rsidRPr="00FE4DBA" w:rsidRDefault="00FE4DBA" w:rsidP="00457C56">
      <w:pPr>
        <w:spacing w:line="276" w:lineRule="auto"/>
        <w:ind w:firstLine="720"/>
        <w:jc w:val="both"/>
        <w:rPr>
          <w:sz w:val="26"/>
          <w:szCs w:val="26"/>
        </w:rPr>
      </w:pPr>
      <w:r w:rsidRPr="00FE4DBA">
        <w:rPr>
          <w:sz w:val="26"/>
          <w:szCs w:val="26"/>
        </w:rPr>
        <w:t>The Orientation Programme proved to be highly informative and beneficial. It enhanced awareness about NAAC’s New Binary Accreditation Framework and provided a clear roadmap for institutional preparedness. The session strengthened the understanding that accreditation is not only about institutional recognition but also about ensuring quality education, student success, and societal contribution.</w:t>
      </w:r>
    </w:p>
    <w:p w14:paraId="2C4AE2DC" w14:textId="77777777" w:rsidR="00FE4DBA" w:rsidRPr="00FE4DBA" w:rsidRDefault="00FE4DBA" w:rsidP="00457C56">
      <w:pPr>
        <w:spacing w:line="276" w:lineRule="auto"/>
        <w:ind w:firstLine="720"/>
        <w:jc w:val="both"/>
        <w:rPr>
          <w:sz w:val="26"/>
          <w:szCs w:val="26"/>
        </w:rPr>
      </w:pPr>
      <w:r w:rsidRPr="00FE4DBA">
        <w:rPr>
          <w:sz w:val="26"/>
          <w:szCs w:val="26"/>
        </w:rPr>
        <w:t xml:space="preserve">The programme concluded with a vote of thanks, expressing gratitude to the </w:t>
      </w:r>
      <w:proofErr w:type="gramStart"/>
      <w:r w:rsidRPr="00FE4DBA">
        <w:rPr>
          <w:sz w:val="26"/>
          <w:szCs w:val="26"/>
        </w:rPr>
        <w:t>Principal</w:t>
      </w:r>
      <w:proofErr w:type="gramEnd"/>
      <w:r w:rsidRPr="00FE4DBA">
        <w:rPr>
          <w:sz w:val="26"/>
          <w:szCs w:val="26"/>
        </w:rPr>
        <w:t xml:space="preserve"> for his leadership, the IQAC Coordinator for the detailed presentation, and all faculty members for their active participation. The institution reaffirmed its commitment to maintaining high standards of academic excellence and successfully adapting to the new accreditation framework introduced by NAAC.</w:t>
      </w:r>
    </w:p>
    <w:p w14:paraId="4FEDEC49" w14:textId="65D5ACFD" w:rsidR="00FE4DBA" w:rsidRDefault="00457C56" w:rsidP="00457C56">
      <w:pPr>
        <w:spacing w:line="276" w:lineRule="auto"/>
        <w:ind w:firstLine="720"/>
        <w:jc w:val="both"/>
        <w:rPr>
          <w:sz w:val="26"/>
          <w:szCs w:val="26"/>
        </w:rPr>
      </w:pPr>
      <w:r>
        <w:rPr>
          <w:sz w:val="26"/>
          <w:szCs w:val="26"/>
        </w:rPr>
        <w:t>T</w:t>
      </w:r>
      <w:r w:rsidR="00FE4DBA" w:rsidRPr="00FE4DBA">
        <w:rPr>
          <w:sz w:val="26"/>
          <w:szCs w:val="26"/>
        </w:rPr>
        <w:t>he Orientation Programme served as a significant step toward institutional readiness for NAAC’s new accreditation reforms and reinforced the collective resolve to strive for sustained quality enhancement in higher education.</w:t>
      </w:r>
    </w:p>
    <w:p w14:paraId="35A898CF" w14:textId="5DFD10D7" w:rsidR="00D779F1" w:rsidRDefault="00D779F1" w:rsidP="00D779F1">
      <w:pPr>
        <w:spacing w:line="276" w:lineRule="auto"/>
        <w:jc w:val="both"/>
        <w:rPr>
          <w:sz w:val="26"/>
          <w:szCs w:val="26"/>
        </w:rPr>
      </w:pPr>
      <w:r w:rsidRPr="00D779F1">
        <w:rPr>
          <w:noProof/>
          <w:sz w:val="26"/>
          <w:szCs w:val="26"/>
        </w:rPr>
        <w:lastRenderedPageBreak/>
        <w:drawing>
          <wp:inline distT="0" distB="0" distL="0" distR="0" wp14:anchorId="06B5327E" wp14:editId="58D7127F">
            <wp:extent cx="5729580" cy="3845859"/>
            <wp:effectExtent l="0" t="0" r="5080" b="2540"/>
            <wp:docPr id="585158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774" cy="3863441"/>
                    </a:xfrm>
                    <a:prstGeom prst="rect">
                      <a:avLst/>
                    </a:prstGeom>
                    <a:noFill/>
                    <a:ln>
                      <a:noFill/>
                    </a:ln>
                  </pic:spPr>
                </pic:pic>
              </a:graphicData>
            </a:graphic>
          </wp:inline>
        </w:drawing>
      </w:r>
    </w:p>
    <w:p w14:paraId="10739264" w14:textId="52AE66A4" w:rsidR="00C7465F" w:rsidRPr="00C7465F" w:rsidRDefault="00C7465F" w:rsidP="00C7465F">
      <w:pPr>
        <w:spacing w:line="276" w:lineRule="auto"/>
        <w:jc w:val="both"/>
        <w:rPr>
          <w:sz w:val="26"/>
          <w:szCs w:val="26"/>
        </w:rPr>
      </w:pPr>
      <w:r w:rsidRPr="00C7465F">
        <w:rPr>
          <w:noProof/>
          <w:sz w:val="26"/>
          <w:szCs w:val="26"/>
        </w:rPr>
        <w:drawing>
          <wp:inline distT="0" distB="0" distL="0" distR="0" wp14:anchorId="16FD5A08" wp14:editId="77AB43A5">
            <wp:extent cx="5731510" cy="3731895"/>
            <wp:effectExtent l="0" t="0" r="2540" b="1905"/>
            <wp:docPr id="788477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p>
    <w:p w14:paraId="7E41DC87" w14:textId="3324137A" w:rsidR="00685AE5" w:rsidRDefault="00685AE5" w:rsidP="000F37E9">
      <w:pPr>
        <w:spacing w:line="276" w:lineRule="auto"/>
        <w:jc w:val="both"/>
        <w:rPr>
          <w:sz w:val="26"/>
          <w:szCs w:val="26"/>
        </w:rPr>
      </w:pPr>
    </w:p>
    <w:p w14:paraId="06529F79" w14:textId="4EB3A5B3" w:rsidR="007C6889" w:rsidRPr="007C6889" w:rsidRDefault="007C6889" w:rsidP="007C6889">
      <w:pPr>
        <w:spacing w:line="276" w:lineRule="auto"/>
        <w:jc w:val="both"/>
        <w:rPr>
          <w:sz w:val="26"/>
          <w:szCs w:val="26"/>
        </w:rPr>
      </w:pPr>
      <w:r w:rsidRPr="007C6889">
        <w:rPr>
          <w:sz w:val="26"/>
          <w:szCs w:val="26"/>
        </w:rPr>
        <w:lastRenderedPageBreak/>
        <w:drawing>
          <wp:inline distT="0" distB="0" distL="0" distR="0" wp14:anchorId="7BC9C334" wp14:editId="37E5E818">
            <wp:extent cx="5731510" cy="2868706"/>
            <wp:effectExtent l="0" t="0" r="2540" b="8255"/>
            <wp:docPr id="1343928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968" cy="2873440"/>
                    </a:xfrm>
                    <a:prstGeom prst="rect">
                      <a:avLst/>
                    </a:prstGeom>
                    <a:noFill/>
                    <a:ln>
                      <a:noFill/>
                    </a:ln>
                  </pic:spPr>
                </pic:pic>
              </a:graphicData>
            </a:graphic>
          </wp:inline>
        </w:drawing>
      </w:r>
    </w:p>
    <w:p w14:paraId="4538A8CA" w14:textId="0362D6C8" w:rsidR="007C6889" w:rsidRDefault="008C1AB4" w:rsidP="000F37E9">
      <w:pPr>
        <w:spacing w:line="276" w:lineRule="auto"/>
        <w:jc w:val="both"/>
        <w:rPr>
          <w:sz w:val="26"/>
          <w:szCs w:val="26"/>
        </w:rPr>
      </w:pPr>
      <w:r>
        <w:rPr>
          <w:noProof/>
        </w:rPr>
        <w:drawing>
          <wp:inline distT="0" distB="0" distL="0" distR="0" wp14:anchorId="01D67753" wp14:editId="67DDC935">
            <wp:extent cx="5731047" cy="2586317"/>
            <wp:effectExtent l="0" t="0" r="3175" b="5080"/>
            <wp:docPr id="8395397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976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44308" cy="2592301"/>
                    </a:xfrm>
                    <a:prstGeom prst="rect">
                      <a:avLst/>
                    </a:prstGeom>
                  </pic:spPr>
                </pic:pic>
              </a:graphicData>
            </a:graphic>
          </wp:inline>
        </w:drawing>
      </w:r>
    </w:p>
    <w:p w14:paraId="2CEED3CE" w14:textId="08601604" w:rsidR="00F11F8E" w:rsidRPr="000F37E9" w:rsidRDefault="00F11F8E" w:rsidP="000F37E9">
      <w:pPr>
        <w:spacing w:line="276" w:lineRule="auto"/>
        <w:jc w:val="both"/>
        <w:rPr>
          <w:sz w:val="26"/>
          <w:szCs w:val="26"/>
        </w:rPr>
      </w:pPr>
      <w:r>
        <w:rPr>
          <w:noProof/>
        </w:rPr>
        <w:drawing>
          <wp:inline distT="0" distB="0" distL="0" distR="0" wp14:anchorId="69395B09" wp14:editId="18560AB8">
            <wp:extent cx="5730147" cy="2447364"/>
            <wp:effectExtent l="0" t="0" r="4445" b="0"/>
            <wp:docPr id="17409457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573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48763" cy="2455315"/>
                    </a:xfrm>
                    <a:prstGeom prst="rect">
                      <a:avLst/>
                    </a:prstGeom>
                  </pic:spPr>
                </pic:pic>
              </a:graphicData>
            </a:graphic>
          </wp:inline>
        </w:drawing>
      </w:r>
    </w:p>
    <w:sectPr w:rsidR="00F11F8E" w:rsidRPr="000F37E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82ADB" w14:textId="77777777" w:rsidR="004D7B11" w:rsidRDefault="004D7B11" w:rsidP="00A66002">
      <w:pPr>
        <w:spacing w:after="0" w:line="240" w:lineRule="auto"/>
      </w:pPr>
      <w:r>
        <w:separator/>
      </w:r>
    </w:p>
  </w:endnote>
  <w:endnote w:type="continuationSeparator" w:id="0">
    <w:p w14:paraId="6C028096" w14:textId="77777777" w:rsidR="004D7B11" w:rsidRDefault="004D7B11" w:rsidP="00A6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40F4B" w14:textId="77777777" w:rsidR="004D7B11" w:rsidRDefault="004D7B11" w:rsidP="00A66002">
      <w:pPr>
        <w:spacing w:after="0" w:line="240" w:lineRule="auto"/>
      </w:pPr>
      <w:r>
        <w:separator/>
      </w:r>
    </w:p>
  </w:footnote>
  <w:footnote w:type="continuationSeparator" w:id="0">
    <w:p w14:paraId="63DC891F" w14:textId="77777777" w:rsidR="004D7B11" w:rsidRDefault="004D7B11" w:rsidP="00A66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596D" w14:textId="4747C436" w:rsidR="00A66002" w:rsidRDefault="00BB31C1" w:rsidP="006402B8">
    <w:pPr>
      <w:pStyle w:val="Header"/>
      <w:jc w:val="center"/>
    </w:pPr>
    <w:r w:rsidRPr="006402B8">
      <w:rPr>
        <w:rFonts w:cstheme="minorHAnsi"/>
        <w:b/>
        <w:bCs/>
        <w:noProof/>
        <w:color w:val="EE0000"/>
        <w:position w:val="-17"/>
        <w:sz w:val="28"/>
        <w:szCs w:val="28"/>
      </w:rPr>
      <w:drawing>
        <wp:anchor distT="0" distB="0" distL="114300" distR="114300" simplePos="0" relativeHeight="251659264" behindDoc="0" locked="0" layoutInCell="1" allowOverlap="1" wp14:anchorId="2D1489A5" wp14:editId="0E1BA0B6">
          <wp:simplePos x="0" y="0"/>
          <wp:positionH relativeFrom="margin">
            <wp:posOffset>-269016</wp:posOffset>
          </wp:positionH>
          <wp:positionV relativeFrom="margin">
            <wp:posOffset>-1035012</wp:posOffset>
          </wp:positionV>
          <wp:extent cx="802005" cy="838200"/>
          <wp:effectExtent l="0" t="0" r="0" b="0"/>
          <wp:wrapSquare wrapText="bothSides"/>
          <wp:docPr id="4" name="Picture 3" descr="SVCR Government Degree College, Palamaner">
            <a:extLst xmlns:a="http://schemas.openxmlformats.org/drawingml/2006/main">
              <a:ext uri="{FF2B5EF4-FFF2-40B4-BE49-F238E27FC236}">
                <a16:creationId xmlns:a16="http://schemas.microsoft.com/office/drawing/2014/main" id="{05013193-23BC-B564-833D-1A44607FB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VCR Government Degree College, Palamaner">
                    <a:extLst>
                      <a:ext uri="{FF2B5EF4-FFF2-40B4-BE49-F238E27FC236}">
                        <a16:creationId xmlns:a16="http://schemas.microsoft.com/office/drawing/2014/main" id="{05013193-23BC-B564-833D-1A44607FBDAC}"/>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02" w:rsidRPr="006402B8">
      <w:rPr>
        <w:rFonts w:cstheme="minorHAnsi"/>
        <w:b/>
        <w:bCs/>
        <w:color w:val="EE0000"/>
        <w:sz w:val="36"/>
        <w:szCs w:val="12"/>
      </w:rPr>
      <w:t xml:space="preserve">SVCR GOVERNMENT DEGREE </w:t>
    </w:r>
    <w:proofErr w:type="gramStart"/>
    <w:r w:rsidR="00A66002" w:rsidRPr="006402B8">
      <w:rPr>
        <w:rFonts w:cstheme="minorHAnsi"/>
        <w:b/>
        <w:bCs/>
        <w:color w:val="EE0000"/>
        <w:sz w:val="36"/>
        <w:szCs w:val="12"/>
      </w:rPr>
      <w:t>COLLEGE</w:t>
    </w:r>
    <w:r w:rsidR="006402B8" w:rsidRPr="006402B8">
      <w:rPr>
        <w:rFonts w:cstheme="minorHAnsi"/>
        <w:b/>
        <w:bCs/>
        <w:color w:val="EE0000"/>
        <w:sz w:val="36"/>
        <w:szCs w:val="12"/>
      </w:rPr>
      <w:t>,PAALAMANER</w:t>
    </w:r>
    <w:proofErr w:type="gramEnd"/>
    <w:r w:rsidR="00A66002" w:rsidRPr="004C32A0">
      <w:rPr>
        <w:rFonts w:ascii="Univers Condensed" w:hAnsi="Univers Condensed"/>
        <w:color w:val="B00000"/>
        <w:sz w:val="52"/>
        <w:szCs w:val="20"/>
      </w:rPr>
      <w:cr/>
    </w:r>
    <w:r w:rsidR="00A66002" w:rsidRPr="004C32A0">
      <w:rPr>
        <w:szCs w:val="20"/>
      </w:rPr>
      <w:t xml:space="preserve"> (Accredited with ‘</w:t>
    </w:r>
    <w:r w:rsidR="00A66002">
      <w:rPr>
        <w:szCs w:val="20"/>
      </w:rPr>
      <w:t>B</w:t>
    </w:r>
    <w:r w:rsidR="00A66002" w:rsidRPr="00947811">
      <w:rPr>
        <w:szCs w:val="20"/>
        <w:vertAlign w:val="superscript"/>
      </w:rPr>
      <w:t>+</w:t>
    </w:r>
    <w:r w:rsidR="00A66002" w:rsidRPr="004C32A0">
      <w:rPr>
        <w:szCs w:val="20"/>
      </w:rPr>
      <w:t xml:space="preserve">’ Grade by </w:t>
    </w:r>
    <w:proofErr w:type="gramStart"/>
    <w:r w:rsidR="00A66002" w:rsidRPr="004C32A0">
      <w:rPr>
        <w:szCs w:val="20"/>
      </w:rPr>
      <w:t>NAAC )</w:t>
    </w:r>
    <w:proofErr w:type="gramEnd"/>
    <w:r w:rsidR="00A66002" w:rsidRPr="004C32A0">
      <w:rPr>
        <w:szCs w:val="20"/>
      </w:rPr>
      <w:cr/>
    </w:r>
    <w:r w:rsidR="00A66002" w:rsidRPr="004C32A0">
      <w:rPr>
        <w:b/>
        <w:color w:val="1F3864" w:themeColor="accent1" w:themeShade="80"/>
        <w:sz w:val="28"/>
        <w:szCs w:val="20"/>
      </w:rPr>
      <w:t>INTERNAL QUALITY ASSURANCE CELL (IQAC)</w:t>
    </w:r>
    <w:r w:rsidR="00A66002" w:rsidRPr="004C32A0">
      <w:rPr>
        <w:color w:val="1F3864" w:themeColor="accent1" w:themeShade="80"/>
        <w:sz w:val="28"/>
        <w:szCs w:val="20"/>
      </w:rPr>
      <w:cr/>
    </w:r>
  </w:p>
  <w:p w14:paraId="0B356475" w14:textId="4D49D5DD" w:rsidR="00A66002" w:rsidRDefault="00A660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03"/>
    <w:rsid w:val="00070184"/>
    <w:rsid w:val="000F37E9"/>
    <w:rsid w:val="001D0E0F"/>
    <w:rsid w:val="002226FA"/>
    <w:rsid w:val="002A45AE"/>
    <w:rsid w:val="002F290D"/>
    <w:rsid w:val="003B3FD7"/>
    <w:rsid w:val="003C68D5"/>
    <w:rsid w:val="00457C56"/>
    <w:rsid w:val="004A70DA"/>
    <w:rsid w:val="004D7B11"/>
    <w:rsid w:val="00530046"/>
    <w:rsid w:val="005C7FE8"/>
    <w:rsid w:val="005E62DD"/>
    <w:rsid w:val="006402B8"/>
    <w:rsid w:val="00685AE5"/>
    <w:rsid w:val="007034F1"/>
    <w:rsid w:val="0073446F"/>
    <w:rsid w:val="007C6889"/>
    <w:rsid w:val="008B0FC3"/>
    <w:rsid w:val="008C1AB4"/>
    <w:rsid w:val="00A027C0"/>
    <w:rsid w:val="00A22DD0"/>
    <w:rsid w:val="00A66002"/>
    <w:rsid w:val="00A670A8"/>
    <w:rsid w:val="00B54803"/>
    <w:rsid w:val="00BB31C1"/>
    <w:rsid w:val="00C110E1"/>
    <w:rsid w:val="00C24D14"/>
    <w:rsid w:val="00C7465F"/>
    <w:rsid w:val="00D41870"/>
    <w:rsid w:val="00D61845"/>
    <w:rsid w:val="00D726BC"/>
    <w:rsid w:val="00D779F1"/>
    <w:rsid w:val="00DA7BB8"/>
    <w:rsid w:val="00E01379"/>
    <w:rsid w:val="00E85BB7"/>
    <w:rsid w:val="00E941F8"/>
    <w:rsid w:val="00EB4C44"/>
    <w:rsid w:val="00F11F8E"/>
    <w:rsid w:val="00F178A5"/>
    <w:rsid w:val="00F6657B"/>
    <w:rsid w:val="00FE4DB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0CC0"/>
  <w15:chartTrackingRefBased/>
  <w15:docId w15:val="{6CE2311D-A3A0-453B-B54D-0B7BFB51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8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48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48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48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48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8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8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8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8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8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48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48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48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48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803"/>
    <w:rPr>
      <w:rFonts w:eastAsiaTheme="majorEastAsia" w:cstheme="majorBidi"/>
      <w:color w:val="272727" w:themeColor="text1" w:themeTint="D8"/>
    </w:rPr>
  </w:style>
  <w:style w:type="paragraph" w:styleId="Title">
    <w:name w:val="Title"/>
    <w:basedOn w:val="Normal"/>
    <w:next w:val="Normal"/>
    <w:link w:val="TitleChar"/>
    <w:uiPriority w:val="10"/>
    <w:qFormat/>
    <w:rsid w:val="00B54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803"/>
    <w:pPr>
      <w:spacing w:before="160"/>
      <w:jc w:val="center"/>
    </w:pPr>
    <w:rPr>
      <w:i/>
      <w:iCs/>
      <w:color w:val="404040" w:themeColor="text1" w:themeTint="BF"/>
    </w:rPr>
  </w:style>
  <w:style w:type="character" w:customStyle="1" w:styleId="QuoteChar">
    <w:name w:val="Quote Char"/>
    <w:basedOn w:val="DefaultParagraphFont"/>
    <w:link w:val="Quote"/>
    <w:uiPriority w:val="29"/>
    <w:rsid w:val="00B54803"/>
    <w:rPr>
      <w:i/>
      <w:iCs/>
      <w:color w:val="404040" w:themeColor="text1" w:themeTint="BF"/>
    </w:rPr>
  </w:style>
  <w:style w:type="paragraph" w:styleId="ListParagraph">
    <w:name w:val="List Paragraph"/>
    <w:basedOn w:val="Normal"/>
    <w:uiPriority w:val="34"/>
    <w:qFormat/>
    <w:rsid w:val="00B54803"/>
    <w:pPr>
      <w:ind w:left="720"/>
      <w:contextualSpacing/>
    </w:pPr>
  </w:style>
  <w:style w:type="character" w:styleId="IntenseEmphasis">
    <w:name w:val="Intense Emphasis"/>
    <w:basedOn w:val="DefaultParagraphFont"/>
    <w:uiPriority w:val="21"/>
    <w:qFormat/>
    <w:rsid w:val="00B54803"/>
    <w:rPr>
      <w:i/>
      <w:iCs/>
      <w:color w:val="2F5496" w:themeColor="accent1" w:themeShade="BF"/>
    </w:rPr>
  </w:style>
  <w:style w:type="paragraph" w:styleId="IntenseQuote">
    <w:name w:val="Intense Quote"/>
    <w:basedOn w:val="Normal"/>
    <w:next w:val="Normal"/>
    <w:link w:val="IntenseQuoteChar"/>
    <w:uiPriority w:val="30"/>
    <w:qFormat/>
    <w:rsid w:val="00B548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803"/>
    <w:rPr>
      <w:i/>
      <w:iCs/>
      <w:color w:val="2F5496" w:themeColor="accent1" w:themeShade="BF"/>
    </w:rPr>
  </w:style>
  <w:style w:type="character" w:styleId="IntenseReference">
    <w:name w:val="Intense Reference"/>
    <w:basedOn w:val="DefaultParagraphFont"/>
    <w:uiPriority w:val="32"/>
    <w:qFormat/>
    <w:rsid w:val="00B54803"/>
    <w:rPr>
      <w:b/>
      <w:bCs/>
      <w:smallCaps/>
      <w:color w:val="2F5496" w:themeColor="accent1" w:themeShade="BF"/>
      <w:spacing w:val="5"/>
    </w:rPr>
  </w:style>
  <w:style w:type="paragraph" w:styleId="Header">
    <w:name w:val="header"/>
    <w:basedOn w:val="Normal"/>
    <w:link w:val="HeaderChar"/>
    <w:uiPriority w:val="99"/>
    <w:unhideWhenUsed/>
    <w:rsid w:val="003C68D5"/>
    <w:pPr>
      <w:tabs>
        <w:tab w:val="center" w:pos="4513"/>
        <w:tab w:val="right" w:pos="9026"/>
      </w:tabs>
      <w:spacing w:after="0" w:line="240" w:lineRule="auto"/>
    </w:pPr>
    <w:rPr>
      <w14:ligatures w14:val="none"/>
    </w:rPr>
  </w:style>
  <w:style w:type="character" w:customStyle="1" w:styleId="HeaderChar">
    <w:name w:val="Header Char"/>
    <w:basedOn w:val="DefaultParagraphFont"/>
    <w:link w:val="Header"/>
    <w:uiPriority w:val="99"/>
    <w:rsid w:val="003C68D5"/>
    <w:rPr>
      <w14:ligatures w14:val="none"/>
    </w:rPr>
  </w:style>
  <w:style w:type="paragraph" w:styleId="Footer">
    <w:name w:val="footer"/>
    <w:basedOn w:val="Normal"/>
    <w:link w:val="FooterChar"/>
    <w:uiPriority w:val="99"/>
    <w:unhideWhenUsed/>
    <w:rsid w:val="00A66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002"/>
  </w:style>
  <w:style w:type="paragraph" w:styleId="NormalWeb">
    <w:name w:val="Normal (Web)"/>
    <w:basedOn w:val="Normal"/>
    <w:uiPriority w:val="99"/>
    <w:semiHidden/>
    <w:unhideWhenUsed/>
    <w:rsid w:val="002A45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sv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1010</Words>
  <Characters>5759</Characters>
  <Application>Microsoft Office Word</Application>
  <DocSecurity>0</DocSecurity>
  <Lines>47</Lines>
  <Paragraphs>13</Paragraphs>
  <ScaleCrop>false</ScaleCrop>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BENAZEER SHAIK</dc:creator>
  <cp:keywords/>
  <dc:description/>
  <cp:lastModifiedBy>BENAZEER SHAIK</cp:lastModifiedBy>
  <cp:revision>34</cp:revision>
  <dcterms:created xsi:type="dcterms:W3CDTF">2026-02-26T10:40:00Z</dcterms:created>
  <dcterms:modified xsi:type="dcterms:W3CDTF">2026-02-27T10:39:00Z</dcterms:modified>
</cp:coreProperties>
</file>